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jc w:val="left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1</w:t>
      </w:r>
    </w:p>
    <w:p>
      <w:pPr>
        <w:spacing w:line="590" w:lineRule="exact"/>
        <w:jc w:val="left"/>
        <w:rPr>
          <w:rFonts w:ascii="Times New Roman" w:hAnsi="Times New Roman" w:eastAsia="方正小标宋_GBK"/>
          <w:sz w:val="44"/>
          <w:szCs w:val="44"/>
        </w:rPr>
      </w:pPr>
    </w:p>
    <w:p>
      <w:pPr>
        <w:spacing w:line="590" w:lineRule="exact"/>
        <w:jc w:val="center"/>
        <w:rPr>
          <w:rFonts w:hint="eastAsia"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安徽省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新能源汽车和智能网联汽车</w:t>
      </w:r>
      <w:r>
        <w:rPr>
          <w:rFonts w:hint="eastAsia" w:ascii="Times New Roman" w:hAnsi="Times New Roman" w:eastAsia="方正小标宋_GBK"/>
          <w:sz w:val="44"/>
          <w:szCs w:val="44"/>
        </w:rPr>
        <w:t>产业发展</w:t>
      </w:r>
    </w:p>
    <w:p>
      <w:pPr>
        <w:spacing w:line="59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专家咨询委员会成员征集条件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</w:p>
    <w:p>
      <w:pPr>
        <w:spacing w:line="590" w:lineRule="exact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一、征集范围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新能源汽车和智能网联汽车产业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整车、关键零部件、装备制造、服务后市场</w:t>
      </w:r>
      <w:r>
        <w:rPr>
          <w:rFonts w:hint="eastAsia" w:ascii="Times New Roman" w:hAnsi="Times New Roman" w:eastAsia="方正仿宋_GBK"/>
          <w:sz w:val="32"/>
          <w:szCs w:val="32"/>
        </w:rPr>
        <w:t>及产业基金领域专家。</w:t>
      </w:r>
    </w:p>
    <w:p>
      <w:pPr>
        <w:spacing w:line="590" w:lineRule="exact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二、推荐条件</w:t>
      </w:r>
    </w:p>
    <w:p>
      <w:pPr>
        <w:spacing w:line="59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（一）认真贯彻执行党的路线、方针、政策，有较强责任感和良好思想道德素质</w:t>
      </w:r>
      <w:r>
        <w:rPr>
          <w:rFonts w:hint="eastAsia" w:ascii="Times New Roman" w:hAnsi="Times New Roman" w:eastAsia="方正仿宋_GBK"/>
          <w:sz w:val="32"/>
          <w:szCs w:val="32"/>
        </w:rPr>
        <w:t>；</w:t>
      </w:r>
    </w:p>
    <w:p>
      <w:pPr>
        <w:spacing w:line="59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（二）拥有上述征集领域高级或同级别</w:t>
      </w:r>
      <w:r>
        <w:rPr>
          <w:rFonts w:hint="eastAsia" w:ascii="Times New Roman" w:hAnsi="Times New Roman" w:eastAsia="方正仿宋_GBK"/>
          <w:sz w:val="32"/>
          <w:szCs w:val="32"/>
        </w:rPr>
        <w:t>以上</w:t>
      </w:r>
      <w:r>
        <w:rPr>
          <w:rFonts w:ascii="Times New Roman" w:hAnsi="Times New Roman" w:eastAsia="方正仿宋_GBK"/>
          <w:sz w:val="32"/>
          <w:szCs w:val="32"/>
        </w:rPr>
        <w:t>职称，</w:t>
      </w:r>
      <w:r>
        <w:rPr>
          <w:rFonts w:hint="eastAsia" w:ascii="Times New Roman" w:hAnsi="Times New Roman" w:eastAsia="方正仿宋_GBK"/>
          <w:sz w:val="32"/>
          <w:szCs w:val="32"/>
        </w:rPr>
        <w:t>或单位中高层管理人员；</w:t>
      </w:r>
    </w:p>
    <w:p>
      <w:pPr>
        <w:spacing w:line="59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（三）</w:t>
      </w:r>
      <w:r>
        <w:rPr>
          <w:rFonts w:ascii="Times New Roman" w:hAnsi="Times New Roman" w:eastAsia="方正仿宋_GBK"/>
          <w:sz w:val="32"/>
          <w:szCs w:val="32"/>
        </w:rPr>
        <w:t>熟悉</w:t>
      </w:r>
      <w:r>
        <w:rPr>
          <w:rFonts w:hint="eastAsia" w:ascii="Times New Roman" w:hAnsi="Times New Roman" w:eastAsia="方正仿宋_GBK"/>
          <w:sz w:val="32"/>
          <w:szCs w:val="32"/>
        </w:rPr>
        <w:t>新能源汽车和智能网联汽车产业</w:t>
      </w:r>
      <w:r>
        <w:rPr>
          <w:rFonts w:ascii="Times New Roman" w:hAnsi="Times New Roman" w:eastAsia="方正仿宋_GBK"/>
          <w:sz w:val="32"/>
          <w:szCs w:val="32"/>
        </w:rPr>
        <w:t>法律法规</w:t>
      </w:r>
      <w:r>
        <w:rPr>
          <w:rFonts w:hint="eastAsia" w:ascii="Times New Roman" w:hAnsi="Times New Roman" w:eastAsia="方正仿宋_GBK"/>
          <w:sz w:val="32"/>
          <w:szCs w:val="32"/>
        </w:rPr>
        <w:t>、产业</w:t>
      </w:r>
      <w:r>
        <w:rPr>
          <w:rFonts w:ascii="Times New Roman" w:hAnsi="Times New Roman" w:eastAsia="方正仿宋_GBK"/>
          <w:sz w:val="32"/>
          <w:szCs w:val="32"/>
        </w:rPr>
        <w:t>政策</w:t>
      </w:r>
      <w:r>
        <w:rPr>
          <w:rFonts w:hint="eastAsia" w:ascii="Times New Roman" w:hAnsi="Times New Roman" w:eastAsia="方正仿宋_GBK"/>
          <w:sz w:val="32"/>
          <w:szCs w:val="32"/>
        </w:rPr>
        <w:t>、技术标准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在理论及技术上有较深造诣，</w:t>
      </w:r>
      <w:r>
        <w:rPr>
          <w:rFonts w:ascii="Times New Roman" w:hAnsi="Times New Roman" w:eastAsia="方正仿宋_GBK"/>
          <w:sz w:val="32"/>
          <w:szCs w:val="32"/>
        </w:rPr>
        <w:t>在行业内具有较强知名度</w:t>
      </w:r>
      <w:r>
        <w:rPr>
          <w:rFonts w:hint="eastAsia" w:ascii="Times New Roman" w:hAnsi="Times New Roman" w:eastAsia="方正仿宋_GBK"/>
          <w:sz w:val="32"/>
          <w:szCs w:val="32"/>
        </w:rPr>
        <w:t>；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四</w:t>
      </w:r>
      <w:r>
        <w:rPr>
          <w:rFonts w:ascii="Times New Roman" w:hAnsi="Times New Roman" w:eastAsia="方正仿宋_GBK"/>
          <w:sz w:val="32"/>
          <w:szCs w:val="32"/>
        </w:rPr>
        <w:t>）身体健康，社会服务意识强，每年能参加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委员会</w:t>
      </w:r>
      <w:r>
        <w:rPr>
          <w:rFonts w:ascii="Times New Roman" w:hAnsi="Times New Roman" w:eastAsia="方正仿宋_GBK"/>
          <w:sz w:val="32"/>
          <w:szCs w:val="32"/>
        </w:rPr>
        <w:t>组织的重要活动。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三、其他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专家咨询委员会成员名单报按程序</w:t>
      </w:r>
      <w:r>
        <w:rPr>
          <w:rFonts w:ascii="Times New Roman" w:hAnsi="Times New Roman" w:eastAsia="方正仿宋_GBK"/>
          <w:sz w:val="32"/>
          <w:szCs w:val="32"/>
        </w:rPr>
        <w:t>审定通过后，将正式向社会公布</w:t>
      </w:r>
      <w:r>
        <w:rPr>
          <w:rFonts w:hint="eastAsia" w:ascii="Times New Roman" w:hAnsi="Times New Roman" w:eastAsia="方正仿宋_GBK"/>
          <w:sz w:val="32"/>
          <w:szCs w:val="32"/>
        </w:rPr>
        <w:t>，并</w:t>
      </w:r>
      <w:r>
        <w:rPr>
          <w:rFonts w:ascii="Times New Roman" w:hAnsi="Times New Roman" w:eastAsia="方正仿宋_GBK"/>
          <w:sz w:val="32"/>
          <w:szCs w:val="32"/>
        </w:rPr>
        <w:t>向专家颁发聘书，聘期为3年。</w:t>
      </w:r>
    </w:p>
    <w:p>
      <w:pPr>
        <w:spacing w:line="59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bookmarkStart w:id="0" w:name="_GoBack"/>
      <w:bookmarkEnd w:id="0"/>
    </w:p>
    <w:sectPr>
      <w:pgSz w:w="11906" w:h="16838"/>
      <w:pgMar w:top="1871" w:right="1474" w:bottom="1587" w:left="1474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91E45D-5109-40E8-A24A-B8468590FBA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582B757-B710-42DF-B594-F5BE74FF8CC0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79F7F90D-0F34-40C3-9A07-714C7A23474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EA22976-7252-4DB6-B2A5-186006A607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AAD6FB4-1905-4537-9516-50CA8DC8CC9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FC77386-12FB-43C6-BB89-E2E0354C742A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DE90242-1F4C-4B4B-A804-B59D50C424A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2445954-E0F2-487A-A086-BE1516CB222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66634C8-4F70-4A5B-8354-47AA6ED61E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72C34"/>
    <w:rsid w:val="02657C69"/>
    <w:rsid w:val="08F43E29"/>
    <w:rsid w:val="241C2103"/>
    <w:rsid w:val="32BF29E3"/>
    <w:rsid w:val="36972C34"/>
    <w:rsid w:val="372331F3"/>
    <w:rsid w:val="40D74A2D"/>
    <w:rsid w:val="5BE04BE8"/>
    <w:rsid w:val="703E2279"/>
    <w:rsid w:val="7216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2021-04-25T07:43:00Z</dcterms:created>
  <dc:creator>文</dc:creator>
  <cp:lastModifiedBy>文</cp:lastModifiedBy>
  <cp:lastPrinted>2021-05-07T02:43:00Z</cp:lastPrinted>
  <dcterms:modified xsi:type="dcterms:W3CDTF">2021-05-07T07:10:54Z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E53B3081ECF2439598BAECDA37F7727F</vt:lpwstr>
  </property>
  <property fmtid="{D5CDD505-2E9C-101B-9397-08002B2CF9AE}" pid="4" name="KSOSaveFontToCloudKey">
    <vt:lpwstr>199138743_embed</vt:lpwstr>
  </property>
</Properties>
</file>